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50D20" w14:textId="77777777" w:rsidR="006C075A" w:rsidRPr="006C075A" w:rsidRDefault="006C075A" w:rsidP="006C075A">
      <w:pPr>
        <w:pStyle w:val="StandardWeb"/>
        <w:rPr>
          <w:rFonts w:ascii="Calibri" w:hAnsi="Calibri" w:cs="Calibri"/>
          <w:b/>
          <w:bCs/>
          <w:color w:val="000000"/>
        </w:rPr>
      </w:pPr>
      <w:r w:rsidRPr="006C075A">
        <w:rPr>
          <w:rFonts w:ascii="Calibri" w:hAnsi="Calibri" w:cs="Calibri"/>
          <w:b/>
          <w:bCs/>
          <w:color w:val="000000"/>
        </w:rPr>
        <w:t>Anlage 7: Begriffsbestimmungen</w:t>
      </w:r>
    </w:p>
    <w:p w14:paraId="45A57159" w14:textId="6E764B9D" w:rsidR="006C075A" w:rsidRPr="006C075A" w:rsidRDefault="006C075A" w:rsidP="006C075A">
      <w:pPr>
        <w:pStyle w:val="StandardWeb"/>
        <w:ind w:left="705" w:hanging="705"/>
        <w:rPr>
          <w:rFonts w:ascii="Calibri" w:hAnsi="Calibri" w:cs="Calibri"/>
          <w:color w:val="000000"/>
        </w:rPr>
      </w:pPr>
      <w:r w:rsidRPr="006C075A">
        <w:rPr>
          <w:rFonts w:ascii="Calibri" w:hAnsi="Calibri" w:cs="Calibri"/>
          <w:color w:val="000000"/>
        </w:rPr>
        <w:t xml:space="preserve">1. </w:t>
      </w:r>
      <w:r>
        <w:rPr>
          <w:rFonts w:ascii="Calibri" w:hAnsi="Calibri" w:cs="Calibri"/>
          <w:color w:val="000000"/>
        </w:rPr>
        <w:tab/>
      </w:r>
      <w:r w:rsidRPr="006C075A">
        <w:rPr>
          <w:rFonts w:ascii="Calibri" w:hAnsi="Calibri" w:cs="Calibri"/>
          <w:b/>
          <w:bCs/>
          <w:color w:val="000000"/>
        </w:rPr>
        <w:t xml:space="preserve">Anschlussnutzer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6C075A">
        <w:rPr>
          <w:rFonts w:ascii="Calibri" w:hAnsi="Calibri" w:cs="Calibri"/>
          <w:color w:val="000000"/>
        </w:rPr>
        <w:t>Nach § 1 Absatz 3 NDAV, gilt entsprechend für Mittel- und Hochdrucknetz.</w:t>
      </w:r>
    </w:p>
    <w:p w14:paraId="76FA2C4F" w14:textId="349CFBD0" w:rsidR="006C075A" w:rsidRPr="006C075A" w:rsidRDefault="006C075A" w:rsidP="006C075A">
      <w:pPr>
        <w:pStyle w:val="StandardWeb"/>
        <w:ind w:left="705" w:hanging="705"/>
        <w:rPr>
          <w:rFonts w:ascii="Calibri" w:hAnsi="Calibri" w:cs="Calibri"/>
          <w:color w:val="000000"/>
        </w:rPr>
      </w:pPr>
      <w:r w:rsidRPr="006C075A">
        <w:rPr>
          <w:rFonts w:ascii="Calibri" w:hAnsi="Calibri" w:cs="Calibri"/>
          <w:color w:val="000000"/>
        </w:rPr>
        <w:t xml:space="preserve">2. </w:t>
      </w:r>
      <w:r>
        <w:rPr>
          <w:rFonts w:ascii="Calibri" w:hAnsi="Calibri" w:cs="Calibri"/>
          <w:color w:val="000000"/>
        </w:rPr>
        <w:tab/>
      </w:r>
      <w:r w:rsidRPr="006C075A">
        <w:rPr>
          <w:rFonts w:ascii="Calibri" w:hAnsi="Calibri" w:cs="Calibri"/>
          <w:b/>
          <w:bCs/>
          <w:color w:val="000000"/>
        </w:rPr>
        <w:t xml:space="preserve">Ausspeisenetzbetreiber </w:t>
      </w:r>
      <w:r w:rsidRPr="006C075A">
        <w:rPr>
          <w:rFonts w:ascii="Calibri" w:hAnsi="Calibri" w:cs="Calibri"/>
          <w:b/>
          <w:bCs/>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6C075A">
        <w:rPr>
          <w:rFonts w:ascii="Calibri" w:hAnsi="Calibri" w:cs="Calibri"/>
          <w:color w:val="000000"/>
        </w:rPr>
        <w:t xml:space="preserve">Netzbetreiber, mit dem der Transportkunde nach § 3 Absatz 1 Satz 1 </w:t>
      </w:r>
      <w:proofErr w:type="spellStart"/>
      <w:r w:rsidRPr="006C075A">
        <w:rPr>
          <w:rFonts w:ascii="Calibri" w:hAnsi="Calibri" w:cs="Calibri"/>
          <w:color w:val="000000"/>
        </w:rPr>
        <w:t>GasNZV</w:t>
      </w:r>
      <w:proofErr w:type="spellEnd"/>
      <w:r w:rsidRPr="006C075A">
        <w:rPr>
          <w:rFonts w:ascii="Calibri" w:hAnsi="Calibri" w:cs="Calibri"/>
          <w:color w:val="000000"/>
        </w:rPr>
        <w:t xml:space="preserve"> einen Ausspeisevertrag, auch in Form eines Lieferantenrahmenvertrages, abschließt.</w:t>
      </w:r>
    </w:p>
    <w:p w14:paraId="7682CFC0" w14:textId="2A2169C5" w:rsidR="006C075A" w:rsidRPr="006C075A" w:rsidRDefault="006C075A" w:rsidP="006C075A">
      <w:pPr>
        <w:pStyle w:val="StandardWeb"/>
        <w:ind w:left="705" w:hanging="705"/>
        <w:rPr>
          <w:rFonts w:ascii="Calibri" w:hAnsi="Calibri" w:cs="Calibri"/>
          <w:color w:val="000000"/>
        </w:rPr>
      </w:pPr>
      <w:r w:rsidRPr="006C075A">
        <w:rPr>
          <w:rFonts w:ascii="Calibri" w:hAnsi="Calibri" w:cs="Calibri"/>
          <w:color w:val="000000"/>
        </w:rPr>
        <w:t xml:space="preserve">3. </w:t>
      </w:r>
      <w:r>
        <w:rPr>
          <w:rFonts w:ascii="Calibri" w:hAnsi="Calibri" w:cs="Calibri"/>
          <w:color w:val="000000"/>
        </w:rPr>
        <w:tab/>
      </w:r>
      <w:r w:rsidRPr="006C075A">
        <w:rPr>
          <w:rFonts w:ascii="Calibri" w:hAnsi="Calibri" w:cs="Calibri"/>
          <w:b/>
          <w:bCs/>
          <w:color w:val="000000"/>
        </w:rPr>
        <w:t>Ausspeisepunkt</w:t>
      </w:r>
      <w:r w:rsidRPr="006C075A">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6C075A">
        <w:rPr>
          <w:rFonts w:ascii="Calibri" w:hAnsi="Calibri" w:cs="Calibri"/>
          <w:color w:val="000000"/>
        </w:rPr>
        <w:t xml:space="preserve">Ein Punkt innerhalb des Marktgebietes, an dem Gas durch einen Transportkunden aus einem Netz eines Netzbetreibers zur Belieferung von Letztverbrauchern oder zum Zwecke der Einspeicherung entnommen werden kann bzw. an Grenzübergängen übertragen werden kann. Als Ausspeisepunkt gilt im Fernleitungsnetz auch die Zusammenfassung mehrerer Ausspeisepunkte zu einer Zone gemäß § 11 Absatz 2 </w:t>
      </w:r>
      <w:proofErr w:type="spellStart"/>
      <w:r w:rsidRPr="006C075A">
        <w:rPr>
          <w:rFonts w:ascii="Calibri" w:hAnsi="Calibri" w:cs="Calibri"/>
          <w:color w:val="000000"/>
        </w:rPr>
        <w:t>GasNZV</w:t>
      </w:r>
      <w:proofErr w:type="spellEnd"/>
      <w:r w:rsidRPr="006C075A">
        <w:rPr>
          <w:rFonts w:ascii="Calibri" w:hAnsi="Calibri" w:cs="Calibri"/>
          <w:color w:val="000000"/>
        </w:rPr>
        <w:t>.</w:t>
      </w:r>
    </w:p>
    <w:p w14:paraId="1368FF19" w14:textId="00F72D1E" w:rsidR="006C075A" w:rsidRPr="006C075A" w:rsidRDefault="006C075A" w:rsidP="006C075A">
      <w:pPr>
        <w:pStyle w:val="StandardWeb"/>
        <w:ind w:left="705" w:hanging="705"/>
        <w:rPr>
          <w:rFonts w:ascii="Calibri" w:hAnsi="Calibri" w:cs="Calibri"/>
          <w:color w:val="000000"/>
        </w:rPr>
      </w:pPr>
      <w:r w:rsidRPr="006C075A">
        <w:rPr>
          <w:rFonts w:ascii="Calibri" w:hAnsi="Calibri" w:cs="Calibri"/>
          <w:color w:val="000000"/>
        </w:rPr>
        <w:t xml:space="preserve">4. </w:t>
      </w:r>
      <w:r>
        <w:rPr>
          <w:rFonts w:ascii="Calibri" w:hAnsi="Calibri" w:cs="Calibri"/>
          <w:color w:val="000000"/>
        </w:rPr>
        <w:tab/>
      </w:r>
      <w:r w:rsidRPr="006C075A">
        <w:rPr>
          <w:rFonts w:ascii="Calibri" w:hAnsi="Calibri" w:cs="Calibri"/>
          <w:b/>
          <w:bCs/>
          <w:color w:val="000000"/>
        </w:rPr>
        <w:t>Bilanzierungsbrennwert</w:t>
      </w:r>
      <w:r w:rsidRPr="006C075A">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6C075A">
        <w:rPr>
          <w:rFonts w:ascii="Calibri" w:hAnsi="Calibri" w:cs="Calibri"/>
          <w:color w:val="000000"/>
        </w:rPr>
        <w:t>Der Bilanzierungsbrennwert stellt die Vorausschätzung eines Abrechnungsbrennwertes je Brennwertgebiet dar. Er unterliegt der monatlichen Überprüfung, soweit erforderlich. Das Brennwertgebiet ist ein Netzgebiet, in dem ein einheitlicher Abrechnungsbrennwert angewendet wird.</w:t>
      </w:r>
    </w:p>
    <w:p w14:paraId="3E0F2FC8" w14:textId="73210516" w:rsidR="006C075A" w:rsidRPr="006C075A" w:rsidRDefault="006C075A" w:rsidP="006C075A">
      <w:pPr>
        <w:pStyle w:val="StandardWeb"/>
        <w:ind w:left="705" w:hanging="705"/>
        <w:rPr>
          <w:rFonts w:ascii="Calibri" w:hAnsi="Calibri" w:cs="Calibri"/>
          <w:color w:val="000000"/>
        </w:rPr>
      </w:pPr>
      <w:r w:rsidRPr="006C075A">
        <w:rPr>
          <w:rFonts w:ascii="Calibri" w:hAnsi="Calibri" w:cs="Calibri"/>
          <w:color w:val="000000"/>
        </w:rPr>
        <w:t xml:space="preserve">5. </w:t>
      </w:r>
      <w:r>
        <w:rPr>
          <w:rFonts w:ascii="Calibri" w:hAnsi="Calibri" w:cs="Calibri"/>
          <w:color w:val="000000"/>
        </w:rPr>
        <w:tab/>
      </w:r>
      <w:r w:rsidRPr="006C075A">
        <w:rPr>
          <w:rFonts w:ascii="Calibri" w:hAnsi="Calibri" w:cs="Calibri"/>
          <w:b/>
          <w:bCs/>
          <w:color w:val="000000"/>
        </w:rPr>
        <w:t>Bilanzkreisnummer</w:t>
      </w:r>
      <w:r w:rsidRPr="006C075A">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6C075A">
        <w:rPr>
          <w:rFonts w:ascii="Calibri" w:hAnsi="Calibri" w:cs="Calibri"/>
          <w:color w:val="000000"/>
        </w:rPr>
        <w:t xml:space="preserve">Eindeutige Nummer, die von dem Marktgebietsverantwortlichen an einen Bilanz-kreisverantwortlichen für einen Bilanzkreis vergeben wird und insbesondere der Identifizierung der Nominierungen oder </w:t>
      </w:r>
      <w:proofErr w:type="spellStart"/>
      <w:r w:rsidRPr="006C075A">
        <w:rPr>
          <w:rFonts w:ascii="Calibri" w:hAnsi="Calibri" w:cs="Calibri"/>
          <w:color w:val="000000"/>
        </w:rPr>
        <w:t>Renominierungen</w:t>
      </w:r>
      <w:proofErr w:type="spellEnd"/>
      <w:r w:rsidRPr="006C075A">
        <w:rPr>
          <w:rFonts w:ascii="Calibri" w:hAnsi="Calibri" w:cs="Calibri"/>
          <w:color w:val="000000"/>
        </w:rPr>
        <w:t xml:space="preserve"> von Gasmengen dient.</w:t>
      </w:r>
    </w:p>
    <w:p w14:paraId="67A8F35B" w14:textId="257820D2" w:rsidR="006C075A" w:rsidRPr="006C075A" w:rsidRDefault="006C075A" w:rsidP="006C075A">
      <w:pPr>
        <w:pStyle w:val="StandardWeb"/>
        <w:ind w:left="705" w:hanging="705"/>
        <w:rPr>
          <w:rFonts w:ascii="Calibri" w:hAnsi="Calibri" w:cs="Calibri"/>
          <w:color w:val="000000"/>
        </w:rPr>
      </w:pPr>
      <w:r w:rsidRPr="006C075A">
        <w:rPr>
          <w:rFonts w:ascii="Calibri" w:hAnsi="Calibri" w:cs="Calibri"/>
          <w:color w:val="000000"/>
        </w:rPr>
        <w:t xml:space="preserve">6. </w:t>
      </w:r>
      <w:r>
        <w:rPr>
          <w:rFonts w:ascii="Calibri" w:hAnsi="Calibri" w:cs="Calibri"/>
          <w:color w:val="000000"/>
        </w:rPr>
        <w:tab/>
      </w:r>
      <w:proofErr w:type="spellStart"/>
      <w:r w:rsidRPr="006C075A">
        <w:rPr>
          <w:rFonts w:ascii="Calibri" w:hAnsi="Calibri" w:cs="Calibri"/>
          <w:b/>
          <w:bCs/>
          <w:color w:val="000000"/>
        </w:rPr>
        <w:t>GeLi</w:t>
      </w:r>
      <w:proofErr w:type="spellEnd"/>
      <w:r w:rsidRPr="006C075A">
        <w:rPr>
          <w:rFonts w:ascii="Calibri" w:hAnsi="Calibri" w:cs="Calibri"/>
          <w:b/>
          <w:bCs/>
          <w:color w:val="000000"/>
        </w:rPr>
        <w:t xml:space="preserve"> Gas</w:t>
      </w:r>
      <w:r w:rsidRPr="006C075A">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6C075A">
        <w:rPr>
          <w:rFonts w:ascii="Calibri" w:hAnsi="Calibri" w:cs="Calibri"/>
          <w:color w:val="000000"/>
        </w:rPr>
        <w:t>Festlegung einheitlicher Geschäftsprozesse und Datenformate der Bundesnetzagentur (Az. BK7-06-067) vom 20. August 2007 oder einer diese Festlegung ersetzende oder ergänzende Festlegung der Bundesnetzagentur.</w:t>
      </w:r>
    </w:p>
    <w:p w14:paraId="578CD2E2" w14:textId="2F3C4596" w:rsidR="006C075A" w:rsidRPr="006C075A" w:rsidRDefault="006C075A" w:rsidP="006C075A">
      <w:pPr>
        <w:pStyle w:val="StandardWeb"/>
        <w:ind w:left="705" w:hanging="705"/>
        <w:rPr>
          <w:rFonts w:ascii="Calibri" w:hAnsi="Calibri" w:cs="Calibri"/>
          <w:color w:val="000000"/>
        </w:rPr>
      </w:pPr>
      <w:r w:rsidRPr="006C075A">
        <w:rPr>
          <w:rFonts w:ascii="Calibri" w:hAnsi="Calibri" w:cs="Calibri"/>
          <w:color w:val="000000"/>
        </w:rPr>
        <w:t xml:space="preserve">7. </w:t>
      </w:r>
      <w:r w:rsidRPr="006C075A">
        <w:rPr>
          <w:rFonts w:ascii="Calibri" w:hAnsi="Calibri" w:cs="Calibri"/>
          <w:b/>
          <w:bCs/>
          <w:color w:val="000000"/>
        </w:rPr>
        <w:tab/>
      </w:r>
      <w:r w:rsidRPr="006C075A">
        <w:rPr>
          <w:rFonts w:ascii="Calibri" w:hAnsi="Calibri" w:cs="Calibri"/>
          <w:b/>
          <w:bCs/>
          <w:color w:val="000000"/>
        </w:rPr>
        <w:t>Liefermonat</w:t>
      </w:r>
      <w:r w:rsidRPr="006C075A">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6C075A">
        <w:rPr>
          <w:rFonts w:ascii="Calibri" w:hAnsi="Calibri" w:cs="Calibri"/>
          <w:color w:val="000000"/>
        </w:rPr>
        <w:t>Der Liefermonat ist der Monat M. Der Liefermonat umfasst den Zeitraum vom 1. Tag 06:00 Uhr des Liefermonats bis zum 1. Tag 06:00 Uhr des Folgemonats. Bei unter-monatlichen Lieferanmeldungen beginnt der Liefermonat am 1. Tag der Belieferung 06:00 Uhr. Bei untermonatlichen Lieferabmeldungen endet der Liefermonat um 06:00 Uhr des Folgetages.</w:t>
      </w:r>
    </w:p>
    <w:p w14:paraId="5083065C" w14:textId="2147A79F" w:rsidR="006C075A" w:rsidRPr="006C075A" w:rsidRDefault="006C075A" w:rsidP="006C075A">
      <w:pPr>
        <w:pStyle w:val="StandardWeb"/>
        <w:ind w:left="705" w:hanging="705"/>
        <w:rPr>
          <w:rFonts w:ascii="Calibri" w:hAnsi="Calibri" w:cs="Calibri"/>
          <w:color w:val="000000"/>
        </w:rPr>
      </w:pPr>
      <w:r w:rsidRPr="006C075A">
        <w:rPr>
          <w:rFonts w:ascii="Calibri" w:hAnsi="Calibri" w:cs="Calibri"/>
          <w:color w:val="000000"/>
        </w:rPr>
        <w:t xml:space="preserve">8. </w:t>
      </w:r>
      <w:r>
        <w:rPr>
          <w:rFonts w:ascii="Calibri" w:hAnsi="Calibri" w:cs="Calibri"/>
          <w:color w:val="000000"/>
        </w:rPr>
        <w:tab/>
      </w:r>
      <w:r w:rsidRPr="006C075A">
        <w:rPr>
          <w:rFonts w:ascii="Calibri" w:hAnsi="Calibri" w:cs="Calibri"/>
          <w:b/>
          <w:bCs/>
          <w:color w:val="000000"/>
        </w:rPr>
        <w:t>Sub-Bilanzkonto</w:t>
      </w:r>
      <w:r w:rsidRPr="006C075A">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6C075A">
        <w:rPr>
          <w:rFonts w:ascii="Calibri" w:hAnsi="Calibri" w:cs="Calibri"/>
          <w:color w:val="000000"/>
        </w:rPr>
        <w:t>Das Sub-Bilanzkonto ist ein Konto, das einem Bilanzkreis zugeordnet ist und die Zuordnung von Ein- und Ausspeisemengen zu Transportkunden und/oder die über-sichtliche Darstellung von Teilmengen ermöglicht.</w:t>
      </w:r>
    </w:p>
    <w:p w14:paraId="0D43D1AD" w14:textId="41CE8413" w:rsidR="000A43D2" w:rsidRPr="006C075A" w:rsidRDefault="006C075A" w:rsidP="006C075A">
      <w:pPr>
        <w:ind w:left="705" w:hanging="705"/>
        <w:rPr>
          <w:rFonts w:ascii="Calibri" w:hAnsi="Calibri" w:cs="Calibri"/>
          <w:sz w:val="24"/>
          <w:szCs w:val="24"/>
        </w:rPr>
      </w:pPr>
      <w:r w:rsidRPr="006C075A">
        <w:rPr>
          <w:rFonts w:ascii="Calibri" w:hAnsi="Calibri" w:cs="Calibri"/>
          <w:sz w:val="24"/>
          <w:szCs w:val="24"/>
        </w:rPr>
        <w:t xml:space="preserve">9. </w:t>
      </w:r>
      <w:r>
        <w:rPr>
          <w:rFonts w:ascii="Calibri" w:hAnsi="Calibri" w:cs="Calibri"/>
          <w:sz w:val="24"/>
          <w:szCs w:val="24"/>
        </w:rPr>
        <w:tab/>
      </w:r>
      <w:r w:rsidRPr="006C075A">
        <w:rPr>
          <w:rFonts w:ascii="Calibri" w:hAnsi="Calibri" w:cs="Calibri"/>
          <w:b/>
          <w:bCs/>
          <w:sz w:val="24"/>
          <w:szCs w:val="24"/>
        </w:rPr>
        <w:t xml:space="preserve">Werktage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roofErr w:type="gramStart"/>
      <w:r w:rsidRPr="006C075A">
        <w:rPr>
          <w:rFonts w:ascii="Calibri" w:hAnsi="Calibri" w:cs="Calibri"/>
          <w:sz w:val="24"/>
          <w:szCs w:val="24"/>
        </w:rPr>
        <w:t>Abweichend</w:t>
      </w:r>
      <w:proofErr w:type="gramEnd"/>
      <w:r w:rsidRPr="006C075A">
        <w:rPr>
          <w:rFonts w:ascii="Calibri" w:hAnsi="Calibri" w:cs="Calibri"/>
          <w:sz w:val="24"/>
          <w:szCs w:val="24"/>
        </w:rPr>
        <w:t xml:space="preserve"> von der Definition in § 2 Nr. 16 </w:t>
      </w:r>
      <w:proofErr w:type="spellStart"/>
      <w:r w:rsidRPr="006C075A">
        <w:rPr>
          <w:rFonts w:ascii="Calibri" w:hAnsi="Calibri" w:cs="Calibri"/>
          <w:sz w:val="24"/>
          <w:szCs w:val="24"/>
        </w:rPr>
        <w:t>GasNZV</w:t>
      </w:r>
      <w:proofErr w:type="spellEnd"/>
      <w:r w:rsidRPr="006C075A">
        <w:rPr>
          <w:rFonts w:ascii="Calibri" w:hAnsi="Calibri" w:cs="Calibri"/>
          <w:sz w:val="24"/>
          <w:szCs w:val="24"/>
        </w:rPr>
        <w:t xml:space="preserve"> sind im Folgenden unter Werktagen für die Fristenregelung alle Tage zu verstehen, die kein Sonnabend, </w:t>
      </w:r>
      <w:r w:rsidRPr="006C075A">
        <w:rPr>
          <w:rFonts w:ascii="Calibri" w:hAnsi="Calibri" w:cs="Calibri"/>
          <w:sz w:val="24"/>
          <w:szCs w:val="24"/>
        </w:rPr>
        <w:lastRenderedPageBreak/>
        <w:t>Sonntag oder gesetzlicher Feiertag sind. Wenn in einem Bundesland ein Tag als Feiertag ausgewiesen wird, gilt dieser Tag bundesweit als Feiertag. Der 24. Dezember und der 31. Dezember eines jeden Jahres gelten als Feiertage</w:t>
      </w:r>
    </w:p>
    <w:sectPr w:rsidR="000A43D2" w:rsidRPr="006C07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5A"/>
    <w:rsid w:val="000A43D2"/>
    <w:rsid w:val="00536688"/>
    <w:rsid w:val="00563C12"/>
    <w:rsid w:val="006C075A"/>
    <w:rsid w:val="00D40912"/>
    <w:rsid w:val="00E85F0E"/>
    <w:rsid w:val="00E92F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40C2"/>
  <w15:chartTrackingRefBased/>
  <w15:docId w15:val="{845D673F-CFA0-45AF-A208-C75547B6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C0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0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07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07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07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07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07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07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07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07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07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07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07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07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C07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07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07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075A"/>
    <w:rPr>
      <w:rFonts w:eastAsiaTheme="majorEastAsia" w:cstheme="majorBidi"/>
      <w:color w:val="272727" w:themeColor="text1" w:themeTint="D8"/>
    </w:rPr>
  </w:style>
  <w:style w:type="paragraph" w:styleId="Titel">
    <w:name w:val="Title"/>
    <w:basedOn w:val="Standard"/>
    <w:next w:val="Standard"/>
    <w:link w:val="TitelZchn"/>
    <w:uiPriority w:val="10"/>
    <w:qFormat/>
    <w:rsid w:val="006C0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07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07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07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07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C075A"/>
    <w:rPr>
      <w:i/>
      <w:iCs/>
      <w:color w:val="404040" w:themeColor="text1" w:themeTint="BF"/>
    </w:rPr>
  </w:style>
  <w:style w:type="paragraph" w:styleId="Listenabsatz">
    <w:name w:val="List Paragraph"/>
    <w:basedOn w:val="Standard"/>
    <w:uiPriority w:val="34"/>
    <w:qFormat/>
    <w:rsid w:val="006C075A"/>
    <w:pPr>
      <w:ind w:left="720"/>
      <w:contextualSpacing/>
    </w:pPr>
  </w:style>
  <w:style w:type="character" w:styleId="IntensiveHervorhebung">
    <w:name w:val="Intense Emphasis"/>
    <w:basedOn w:val="Absatz-Standardschriftart"/>
    <w:uiPriority w:val="21"/>
    <w:qFormat/>
    <w:rsid w:val="006C075A"/>
    <w:rPr>
      <w:i/>
      <w:iCs/>
      <w:color w:val="0F4761" w:themeColor="accent1" w:themeShade="BF"/>
    </w:rPr>
  </w:style>
  <w:style w:type="paragraph" w:styleId="IntensivesZitat">
    <w:name w:val="Intense Quote"/>
    <w:basedOn w:val="Standard"/>
    <w:next w:val="Standard"/>
    <w:link w:val="IntensivesZitatZchn"/>
    <w:uiPriority w:val="30"/>
    <w:qFormat/>
    <w:rsid w:val="006C0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075A"/>
    <w:rPr>
      <w:i/>
      <w:iCs/>
      <w:color w:val="0F4761" w:themeColor="accent1" w:themeShade="BF"/>
    </w:rPr>
  </w:style>
  <w:style w:type="character" w:styleId="IntensiverVerweis">
    <w:name w:val="Intense Reference"/>
    <w:basedOn w:val="Absatz-Standardschriftart"/>
    <w:uiPriority w:val="32"/>
    <w:qFormat/>
    <w:rsid w:val="006C075A"/>
    <w:rPr>
      <w:b/>
      <w:bCs/>
      <w:smallCaps/>
      <w:color w:val="0F4761" w:themeColor="accent1" w:themeShade="BF"/>
      <w:spacing w:val="5"/>
    </w:rPr>
  </w:style>
  <w:style w:type="paragraph" w:styleId="StandardWeb">
    <w:name w:val="Normal (Web)"/>
    <w:basedOn w:val="Standard"/>
    <w:uiPriority w:val="99"/>
    <w:semiHidden/>
    <w:unhideWhenUsed/>
    <w:rsid w:val="006C075A"/>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06201">
      <w:bodyDiv w:val="1"/>
      <w:marLeft w:val="0"/>
      <w:marRight w:val="0"/>
      <w:marTop w:val="0"/>
      <w:marBottom w:val="0"/>
      <w:divBdr>
        <w:top w:val="none" w:sz="0" w:space="0" w:color="auto"/>
        <w:left w:val="none" w:sz="0" w:space="0" w:color="auto"/>
        <w:bottom w:val="none" w:sz="0" w:space="0" w:color="auto"/>
        <w:right w:val="none" w:sz="0" w:space="0" w:color="auto"/>
      </w:divBdr>
    </w:div>
    <w:div w:id="9248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4E5FC3455364478CE48C50E1F35A0B" ma:contentTypeVersion="16" ma:contentTypeDescription="Ein neues Dokument erstellen." ma:contentTypeScope="" ma:versionID="47789d198b04f1442950c4af1edde9f5">
  <xsd:schema xmlns:xsd="http://www.w3.org/2001/XMLSchema" xmlns:xs="http://www.w3.org/2001/XMLSchema" xmlns:p="http://schemas.microsoft.com/office/2006/metadata/properties" xmlns:ns2="9e8bdbb4-8690-4877-9626-9bed13bfc170" xmlns:ns3="70c56dc3-38a0-404c-9ed0-45869c5b9be0" targetNamespace="http://schemas.microsoft.com/office/2006/metadata/properties" ma:root="true" ma:fieldsID="969a2f04bd69988393fe5073bc89f43c" ns2:_="" ns3:_="">
    <xsd:import namespace="9e8bdbb4-8690-4877-9626-9bed13bfc170"/>
    <xsd:import namespace="70c56dc3-38a0-404c-9ed0-45869c5b9b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bb4-8690-4877-9626-9bed13bfc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6e7316a-7927-4494-9758-99695a09ab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56dc3-38a0-404c-9ed0-45869c5b9b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fff2f3-1f9b-494c-85ab-0033dc0b496b}" ma:internalName="TaxCatchAll" ma:showField="CatchAllData" ma:web="70c56dc3-38a0-404c-9ed0-45869c5b9b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8bdbb4-8690-4877-9626-9bed13bfc170">
      <Terms xmlns="http://schemas.microsoft.com/office/infopath/2007/PartnerControls"/>
    </lcf76f155ced4ddcb4097134ff3c332f>
    <TaxCatchAll xmlns="70c56dc3-38a0-404c-9ed0-45869c5b9be0" xsi:nil="true"/>
  </documentManagement>
</p:properties>
</file>

<file path=customXml/itemProps1.xml><?xml version="1.0" encoding="utf-8"?>
<ds:datastoreItem xmlns:ds="http://schemas.openxmlformats.org/officeDocument/2006/customXml" ds:itemID="{2CA5D44E-7E85-49AE-B1DE-2E9952876711}"/>
</file>

<file path=customXml/itemProps2.xml><?xml version="1.0" encoding="utf-8"?>
<ds:datastoreItem xmlns:ds="http://schemas.openxmlformats.org/officeDocument/2006/customXml" ds:itemID="{70AF0407-7739-4058-9421-5855F1251291}"/>
</file>

<file path=customXml/itemProps3.xml><?xml version="1.0" encoding="utf-8"?>
<ds:datastoreItem xmlns:ds="http://schemas.openxmlformats.org/officeDocument/2006/customXml" ds:itemID="{2AE687B0-F27F-479E-BFD3-41EDEBF4D595}"/>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2205</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Kira</dc:creator>
  <cp:keywords/>
  <dc:description/>
  <cp:lastModifiedBy>Mai, Kira</cp:lastModifiedBy>
  <cp:revision>1</cp:revision>
  <dcterms:created xsi:type="dcterms:W3CDTF">2025-11-25T13:22:00Z</dcterms:created>
  <dcterms:modified xsi:type="dcterms:W3CDTF">2025-11-25T13:28:00Z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0x010100724E5FC3455364478CE48C50E1F35A0B</vt:lpwstr>
  </property>
</Properties>
</file>